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C" w:rsidRDefault="00883EFC" w:rsidP="00CE51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642A8" w:rsidRDefault="003642A8" w:rsidP="0088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rtl/>
        </w:rPr>
      </w:pPr>
    </w:p>
    <w:p w:rsidR="00883EFC" w:rsidRPr="001011C9" w:rsidRDefault="00883EFC" w:rsidP="00883EF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1011C9">
        <w:rPr>
          <w:rFonts w:asciiTheme="majorBidi" w:eastAsia="Calibri" w:hAnsiTheme="majorBidi" w:cstheme="majorBidi"/>
          <w:b/>
          <w:sz w:val="32"/>
          <w:szCs w:val="32"/>
        </w:rPr>
        <w:t xml:space="preserve">Appel à </w:t>
      </w:r>
      <w:r w:rsidRPr="001011C9">
        <w:rPr>
          <w:rFonts w:asciiTheme="majorBidi" w:hAnsiTheme="majorBidi" w:cstheme="majorBidi"/>
          <w:b/>
          <w:sz w:val="32"/>
          <w:szCs w:val="32"/>
        </w:rPr>
        <w:t>participa</w:t>
      </w:r>
      <w:r w:rsidRPr="001011C9">
        <w:rPr>
          <w:rFonts w:asciiTheme="majorBidi" w:eastAsia="Calibri" w:hAnsiTheme="majorBidi" w:cstheme="majorBidi"/>
          <w:b/>
          <w:sz w:val="32"/>
          <w:szCs w:val="32"/>
        </w:rPr>
        <w:t>tion</w:t>
      </w:r>
    </w:p>
    <w:p w:rsidR="008930C7" w:rsidRPr="001011C9" w:rsidRDefault="008930C7" w:rsidP="00CE51F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930C7" w:rsidRPr="001011C9" w:rsidRDefault="00CF490E" w:rsidP="000A159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1011C9">
        <w:rPr>
          <w:rFonts w:asciiTheme="majorBidi" w:hAnsiTheme="majorBidi" w:cstheme="majorBidi"/>
          <w:b/>
          <w:sz w:val="28"/>
          <w:szCs w:val="28"/>
        </w:rPr>
        <w:t xml:space="preserve">Concours </w:t>
      </w:r>
      <w:r w:rsidR="000A159B" w:rsidRPr="001011C9">
        <w:rPr>
          <w:rFonts w:asciiTheme="majorBidi" w:hAnsiTheme="majorBidi" w:cstheme="majorBidi"/>
          <w:b/>
          <w:sz w:val="28"/>
          <w:szCs w:val="28"/>
        </w:rPr>
        <w:t xml:space="preserve">de </w:t>
      </w:r>
      <w:r w:rsidR="00E016B3" w:rsidRPr="001011C9">
        <w:rPr>
          <w:rFonts w:asciiTheme="majorBidi" w:hAnsiTheme="majorBidi" w:cstheme="majorBidi"/>
          <w:b/>
          <w:sz w:val="28"/>
          <w:szCs w:val="28"/>
        </w:rPr>
        <w:t>«</w:t>
      </w:r>
      <w:r w:rsidR="000A159B" w:rsidRPr="001011C9">
        <w:rPr>
          <w:rFonts w:asciiTheme="majorBidi" w:hAnsiTheme="majorBidi" w:cstheme="majorBidi"/>
          <w:b/>
          <w:sz w:val="28"/>
          <w:szCs w:val="28"/>
        </w:rPr>
        <w:t xml:space="preserve">l’Innovation </w:t>
      </w:r>
      <w:r w:rsidR="00A54A49" w:rsidRPr="001011C9">
        <w:rPr>
          <w:rFonts w:asciiTheme="majorBidi" w:hAnsiTheme="majorBidi" w:cstheme="majorBidi"/>
          <w:b/>
          <w:sz w:val="28"/>
          <w:szCs w:val="28"/>
        </w:rPr>
        <w:t>Agri</w:t>
      </w:r>
      <w:r w:rsidR="000A159B" w:rsidRPr="001011C9">
        <w:rPr>
          <w:rFonts w:asciiTheme="majorBidi" w:hAnsiTheme="majorBidi" w:cstheme="majorBidi"/>
          <w:b/>
          <w:sz w:val="28"/>
          <w:szCs w:val="28"/>
        </w:rPr>
        <w:t>cole</w:t>
      </w:r>
      <w:r w:rsidR="00E016B3" w:rsidRPr="001011C9">
        <w:rPr>
          <w:rFonts w:asciiTheme="majorBidi" w:hAnsiTheme="majorBidi" w:cstheme="majorBidi"/>
          <w:b/>
          <w:sz w:val="28"/>
          <w:szCs w:val="28"/>
        </w:rPr>
        <w:t>»</w:t>
      </w:r>
      <w:r w:rsidR="00DC235B" w:rsidRPr="001011C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930C7" w:rsidRPr="001011C9">
        <w:rPr>
          <w:rFonts w:asciiTheme="majorBidi" w:hAnsiTheme="majorBidi" w:cstheme="majorBidi"/>
          <w:b/>
          <w:sz w:val="28"/>
          <w:szCs w:val="28"/>
        </w:rPr>
        <w:t>201</w:t>
      </w:r>
      <w:r w:rsidRPr="001011C9">
        <w:rPr>
          <w:rFonts w:asciiTheme="majorBidi" w:hAnsiTheme="majorBidi" w:cstheme="majorBidi"/>
          <w:b/>
          <w:sz w:val="28"/>
          <w:szCs w:val="28"/>
        </w:rPr>
        <w:t>7</w:t>
      </w:r>
    </w:p>
    <w:p w:rsidR="00CE51FB" w:rsidRPr="001011C9" w:rsidRDefault="00CE51FB" w:rsidP="00CE51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DC235B" w:rsidRPr="001011C9" w:rsidRDefault="00883EFC" w:rsidP="00FD0948">
      <w:pPr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/>
          <w:iCs/>
          <w:sz w:val="26"/>
          <w:szCs w:val="26"/>
          <w:u w:val="single"/>
        </w:rPr>
        <w:t>Objet: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</w:t>
      </w:r>
      <w:r w:rsidR="00397FA2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concours de </w:t>
      </w:r>
      <w:r w:rsidR="00C5693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sélection </w:t>
      </w:r>
      <w:r w:rsidR="00DC235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des </w:t>
      </w:r>
      <w:r w:rsidR="00397FA2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meilleurs </w:t>
      </w:r>
      <w:r w:rsidR="00DC235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résultats de recherche </w:t>
      </w:r>
      <w:r w:rsidR="00CF490E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porteurs d’idées d’entreprises </w:t>
      </w:r>
      <w:r w:rsidR="00894E3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dans les</w:t>
      </w:r>
      <w:r w:rsidR="00DC235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domaines de l’agriculture</w:t>
      </w:r>
      <w:r w:rsidR="00FD094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de la pêche</w:t>
      </w:r>
      <w:r w:rsidR="00894E3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, du machinisme agricole</w:t>
      </w:r>
      <w:r w:rsidR="00DC235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et de l’agro alimentaire.</w:t>
      </w:r>
    </w:p>
    <w:p w:rsidR="00194DB8" w:rsidRPr="001011C9" w:rsidRDefault="009D53DF" w:rsidP="00433FB1">
      <w:pPr>
        <w:ind w:firstLine="708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Dans le cadre du développement d</w:t>
      </w:r>
      <w:r w:rsidR="000A159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’un partenariat fructueux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entre le système de la recherche agricole et </w:t>
      </w:r>
      <w:r w:rsidR="00894E3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la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profession </w:t>
      </w:r>
      <w:r w:rsidR="000A159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par la mise en place de nouveaux outils de valorisation des résultats de la recherche agricole</w:t>
      </w:r>
      <w:r w:rsidR="00194DB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,</w:t>
      </w:r>
      <w:r w:rsidR="000A159B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</w:t>
      </w:r>
      <w:r w:rsidR="00894E38" w:rsidRPr="001011C9">
        <w:rPr>
          <w:rFonts w:asciiTheme="majorBidi" w:eastAsia="Calibri" w:hAnsiTheme="majorBidi" w:cstheme="majorBidi"/>
          <w:bCs/>
          <w:sz w:val="26"/>
          <w:szCs w:val="26"/>
        </w:rPr>
        <w:t>l’Institution de la Recherche et de l’Enseignement Supérieur Agricoles (IRESA) et l’Union Tunisienne de l’Agriculture et de la Pêche (UTAP)</w:t>
      </w:r>
      <w:r w:rsidR="00433FB1" w:rsidRPr="001011C9">
        <w:rPr>
          <w:rFonts w:asciiTheme="majorBidi" w:eastAsia="Calibri" w:hAnsiTheme="majorBidi" w:cstheme="majorBidi"/>
          <w:bCs/>
          <w:sz w:val="26"/>
          <w:szCs w:val="26"/>
        </w:rPr>
        <w:t>,</w:t>
      </w:r>
      <w:r w:rsidR="00B128E1">
        <w:rPr>
          <w:rFonts w:asciiTheme="majorBidi" w:eastAsia="Calibri" w:hAnsiTheme="majorBidi" w:cstheme="majorBidi"/>
          <w:bCs/>
          <w:sz w:val="26"/>
          <w:szCs w:val="26"/>
        </w:rPr>
        <w:t>en collaboration avec l’agence nationale de la promotion de la recherche</w:t>
      </w:r>
      <w:r w:rsidR="00894E38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 organisent</w:t>
      </w:r>
      <w:r w:rsidR="00B128E1">
        <w:rPr>
          <w:rFonts w:asciiTheme="majorBidi" w:eastAsia="Calibri" w:hAnsiTheme="majorBidi" w:cstheme="majorBidi"/>
          <w:bCs/>
          <w:sz w:val="26"/>
          <w:szCs w:val="26"/>
        </w:rPr>
        <w:t>,</w:t>
      </w:r>
      <w:r w:rsidR="00894E38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 </w:t>
      </w:r>
      <w:r w:rsidR="00194DB8" w:rsidRPr="001011C9">
        <w:rPr>
          <w:rFonts w:asciiTheme="majorBidi" w:eastAsia="Calibri" w:hAnsiTheme="majorBidi" w:cstheme="majorBidi"/>
          <w:bCs/>
          <w:sz w:val="26"/>
          <w:szCs w:val="26"/>
        </w:rPr>
        <w:t>à la</w:t>
      </w:r>
      <w:r w:rsidR="00894E38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 marge de la 13</w:t>
      </w:r>
      <w:r w:rsidR="00894E38" w:rsidRPr="001011C9">
        <w:rPr>
          <w:rFonts w:asciiTheme="majorBidi" w:eastAsia="Calibri" w:hAnsiTheme="majorBidi" w:cstheme="majorBidi"/>
          <w:bCs/>
          <w:sz w:val="26"/>
          <w:szCs w:val="26"/>
          <w:vertAlign w:val="superscript"/>
        </w:rPr>
        <w:t>ème</w:t>
      </w:r>
      <w:r w:rsidR="00894E38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 édition du Salon International de l’Agriculture du machinisme agricole et de la pêche </w:t>
      </w:r>
      <w:r w:rsidR="000A159B" w:rsidRPr="001011C9">
        <w:rPr>
          <w:rFonts w:asciiTheme="majorBidi" w:eastAsia="Calibri" w:hAnsiTheme="majorBidi" w:cstheme="majorBidi"/>
          <w:bCs/>
          <w:sz w:val="26"/>
          <w:szCs w:val="26"/>
        </w:rPr>
        <w:t>un concours de l’innovation agricole en sa première édition</w:t>
      </w:r>
      <w:r w:rsidR="00194DB8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 pour la </w:t>
      </w:r>
      <w:r w:rsidR="00194DB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sélection des meilleurs résultats de recherche </w:t>
      </w:r>
      <w:r w:rsidR="00194DB8"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porteurs d’idées d’entreprises </w:t>
      </w:r>
      <w:r w:rsidR="00194DB8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dans les domaines de l’agriculture, du machinisme ag</w:t>
      </w:r>
      <w:r w:rsidR="00433FB1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ricole et de l’agro alimentaire concernant le secteur agricole en Tunisie. </w:t>
      </w:r>
      <w:r w:rsidR="0094430A">
        <w:rPr>
          <w:rFonts w:asciiTheme="majorBidi" w:eastAsia="Calibri" w:hAnsiTheme="majorBidi" w:cstheme="majorBidi"/>
          <w:bCs/>
          <w:iCs/>
          <w:sz w:val="26"/>
          <w:szCs w:val="26"/>
        </w:rPr>
        <w:t>Des prix seront réservés aux lauréats.</w:t>
      </w:r>
    </w:p>
    <w:p w:rsidR="00C50C88" w:rsidRPr="001011C9" w:rsidRDefault="00C50C88" w:rsidP="00C50C88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</w:p>
    <w:p w:rsidR="00F725FE" w:rsidRPr="001011C9" w:rsidRDefault="00C50C88" w:rsidP="00F725FE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/>
          <w:iCs/>
          <w:sz w:val="26"/>
          <w:szCs w:val="26"/>
          <w:u w:val="single"/>
        </w:rPr>
        <w:t>Public cible :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Catégorie des participants : peuvent participer à ce concours les chercheurs tunisiens faisant partie d’une structure de recherche et actifs dans le domaine </w:t>
      </w:r>
      <w:r w:rsidR="00F725FE"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de l’agriculture de la pêche, du machinisme agricole et de l’agro alimentaire.</w:t>
      </w:r>
    </w:p>
    <w:p w:rsidR="00C50C88" w:rsidRPr="001011C9" w:rsidRDefault="00C50C88" w:rsidP="00F725FE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La participation doit être individuelle. Dans le cas ou la recherche a été réalisée en collaboration avec une équipe de recherche, le soumissionnaire doit joindre une procuration signée par tous les membres de l’équipe de recherche à son dossier.</w:t>
      </w:r>
    </w:p>
    <w:p w:rsidR="00BE25FC" w:rsidRPr="001011C9" w:rsidRDefault="00BE25FC" w:rsidP="00C50C88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</w:p>
    <w:p w:rsidR="00BE25FC" w:rsidRPr="001011C9" w:rsidRDefault="00BE25FC" w:rsidP="00C50C88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/>
          <w:iCs/>
          <w:sz w:val="26"/>
          <w:szCs w:val="26"/>
          <w:u w:val="single"/>
        </w:rPr>
        <w:t>Modalité de participation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 : </w:t>
      </w:r>
    </w:p>
    <w:p w:rsidR="00BE25FC" w:rsidRPr="001011C9" w:rsidRDefault="00BE25FC" w:rsidP="00D111C6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Pour soumissionner, les 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>candidats sont appelés à</w:t>
      </w:r>
      <w:r w:rsidRPr="001011C9">
        <w:rPr>
          <w:rFonts w:asciiTheme="majorBidi" w:eastAsia="Calibri" w:hAnsiTheme="majorBidi" w:cstheme="majorBidi"/>
          <w:bCs/>
          <w:sz w:val="26"/>
          <w:szCs w:val="26"/>
        </w:rPr>
        <w:t xml:space="preserve"> remplir et envoyer par e-mail la fiche de projet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disponible sur le lien : </w:t>
      </w:r>
      <w:r w:rsidR="00D111C6">
        <w:rPr>
          <w:rFonts w:asciiTheme="majorBidi" w:eastAsia="Calibri" w:hAnsiTheme="majorBidi" w:cstheme="majorBidi"/>
          <w:bCs/>
          <w:iCs/>
          <w:color w:val="FF0000"/>
          <w:sz w:val="26"/>
          <w:szCs w:val="26"/>
        </w:rPr>
        <w:t>(lien fiche de projet)</w:t>
      </w:r>
    </w:p>
    <w:p w:rsidR="00E82A57" w:rsidRPr="001011C9" w:rsidRDefault="00BE25FC" w:rsidP="00BE25FC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Les soumissions seront envoyées par e-mail à l’adresse : </w:t>
      </w:r>
    </w:p>
    <w:p w:rsidR="001011C9" w:rsidRPr="00D111C6" w:rsidRDefault="00937030" w:rsidP="00BE25FC">
      <w:pPr>
        <w:pStyle w:val="Paragraphedeliste"/>
        <w:ind w:left="0"/>
        <w:jc w:val="both"/>
        <w:rPr>
          <w:rFonts w:asciiTheme="majorBidi" w:hAnsiTheme="majorBidi" w:cstheme="majorBidi"/>
          <w:bCs/>
          <w:color w:val="00B0F0"/>
        </w:rPr>
      </w:pPr>
      <w:hyperlink r:id="rId8" w:history="1">
        <w:r w:rsidR="00BE25FC" w:rsidRPr="00D111C6">
          <w:rPr>
            <w:rStyle w:val="Lienhypertexte"/>
            <w:rFonts w:asciiTheme="majorBidi" w:hAnsiTheme="majorBidi" w:cstheme="majorBidi"/>
            <w:bCs/>
            <w:color w:val="00B0F0"/>
            <w:sz w:val="26"/>
            <w:szCs w:val="26"/>
          </w:rPr>
          <w:t>concours.innovagri@iresa.agrinet.tn</w:t>
        </w:r>
      </w:hyperlink>
      <w:r w:rsidR="00D111C6" w:rsidRPr="00D111C6">
        <w:rPr>
          <w:color w:val="00B0F0"/>
        </w:rPr>
        <w:t xml:space="preserve"> </w:t>
      </w:r>
    </w:p>
    <w:p w:rsidR="001011C9" w:rsidRDefault="001011C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:rsidR="00BE25FC" w:rsidRPr="001011C9" w:rsidRDefault="00BE25FC" w:rsidP="00BE25FC">
      <w:pPr>
        <w:pStyle w:val="Paragraphedeliste"/>
        <w:ind w:left="0"/>
        <w:jc w:val="both"/>
        <w:rPr>
          <w:rFonts w:asciiTheme="majorBidi" w:hAnsiTheme="majorBidi" w:cstheme="majorBidi"/>
          <w:bCs/>
          <w:sz w:val="26"/>
          <w:szCs w:val="26"/>
        </w:rPr>
      </w:pPr>
    </w:p>
    <w:p w:rsidR="007B109A" w:rsidRPr="001011C9" w:rsidRDefault="007B109A" w:rsidP="00C50C88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</w:p>
    <w:p w:rsidR="00BE25FC" w:rsidRPr="001011C9" w:rsidRDefault="00BE25FC" w:rsidP="00C50C88">
      <w:pPr>
        <w:pStyle w:val="Paragraphedeliste"/>
        <w:ind w:left="0"/>
        <w:jc w:val="both"/>
        <w:rPr>
          <w:rFonts w:asciiTheme="majorBidi" w:eastAsia="Calibri" w:hAnsiTheme="majorBidi" w:cstheme="majorBidi"/>
          <w:b/>
          <w:iCs/>
          <w:sz w:val="26"/>
          <w:szCs w:val="26"/>
          <w:u w:val="single"/>
        </w:rPr>
      </w:pPr>
      <w:r w:rsidRPr="001011C9">
        <w:rPr>
          <w:rFonts w:asciiTheme="majorBidi" w:eastAsia="Calibri" w:hAnsiTheme="majorBidi" w:cstheme="majorBidi"/>
          <w:b/>
          <w:iCs/>
          <w:sz w:val="26"/>
          <w:szCs w:val="26"/>
          <w:u w:val="single"/>
        </w:rPr>
        <w:t xml:space="preserve">Critères de sélection : </w:t>
      </w:r>
    </w:p>
    <w:p w:rsidR="00BE25FC" w:rsidRPr="00D111C6" w:rsidRDefault="00BE25FC" w:rsidP="00D111C6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color w:val="FF0000"/>
          <w:sz w:val="26"/>
          <w:szCs w:val="26"/>
        </w:rPr>
      </w:pP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La sélection sera faite selon les critères ci- joint : </w:t>
      </w:r>
      <w:r w:rsidR="00D111C6">
        <w:rPr>
          <w:rFonts w:asciiTheme="majorBidi" w:eastAsia="Calibri" w:hAnsiTheme="majorBidi" w:cstheme="majorBidi"/>
          <w:bCs/>
          <w:iCs/>
          <w:color w:val="FF0000"/>
          <w:sz w:val="26"/>
          <w:szCs w:val="26"/>
        </w:rPr>
        <w:t>(lien critères de sélection)</w:t>
      </w:r>
    </w:p>
    <w:p w:rsidR="00BE25FC" w:rsidRPr="001011C9" w:rsidRDefault="00BE25FC" w:rsidP="00C50C88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</w:p>
    <w:p w:rsidR="00C50C88" w:rsidRPr="001011C9" w:rsidRDefault="00C50C88" w:rsidP="00C50C88">
      <w:pPr>
        <w:pStyle w:val="Paragraphedeliste"/>
        <w:ind w:left="0"/>
        <w:jc w:val="both"/>
        <w:rPr>
          <w:rFonts w:asciiTheme="majorBidi" w:eastAsia="Calibri" w:hAnsiTheme="majorBidi" w:cstheme="majorBidi"/>
          <w:bCs/>
          <w:iCs/>
          <w:sz w:val="26"/>
          <w:szCs w:val="26"/>
        </w:rPr>
      </w:pPr>
      <w:r w:rsidRPr="001011C9">
        <w:rPr>
          <w:rFonts w:asciiTheme="majorBidi" w:eastAsia="Calibri" w:hAnsiTheme="majorBidi" w:cstheme="majorBidi"/>
          <w:b/>
          <w:iCs/>
          <w:sz w:val="26"/>
          <w:szCs w:val="26"/>
          <w:u w:val="single"/>
        </w:rPr>
        <w:t>Planning :</w:t>
      </w:r>
      <w:r w:rsidRPr="001011C9">
        <w:rPr>
          <w:rFonts w:asciiTheme="majorBidi" w:eastAsia="Calibri" w:hAnsiTheme="majorBidi" w:cstheme="majorBidi"/>
          <w:bCs/>
          <w:iCs/>
          <w:sz w:val="26"/>
          <w:szCs w:val="26"/>
        </w:rPr>
        <w:t xml:space="preserve"> le processus de préparation et d’organisation de ce concours comportera les phases suivantes :</w:t>
      </w:r>
    </w:p>
    <w:p w:rsidR="00C50C88" w:rsidRPr="001011C9" w:rsidRDefault="00C50C88" w:rsidP="00C50C88">
      <w:pPr>
        <w:pStyle w:val="Paragraphedeliste"/>
        <w:ind w:left="0"/>
        <w:jc w:val="both"/>
        <w:rPr>
          <w:rFonts w:asciiTheme="majorBidi" w:hAnsiTheme="majorBidi" w:cstheme="majorBidi"/>
          <w:bCs/>
          <w:sz w:val="26"/>
          <w:szCs w:val="26"/>
        </w:rPr>
      </w:pPr>
    </w:p>
    <w:p w:rsidR="00C50C88" w:rsidRPr="001011C9" w:rsidRDefault="00C50C88" w:rsidP="00C50C88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6"/>
          <w:szCs w:val="26"/>
        </w:rPr>
      </w:pPr>
      <w:r w:rsidRPr="001011C9">
        <w:rPr>
          <w:rFonts w:asciiTheme="majorBidi" w:hAnsiTheme="majorBidi" w:cstheme="majorBidi"/>
          <w:bCs/>
          <w:sz w:val="26"/>
          <w:szCs w:val="26"/>
        </w:rPr>
        <w:t>Lancement de l’appel à participation : 7 Aout 2017</w:t>
      </w:r>
    </w:p>
    <w:p w:rsidR="00C50C88" w:rsidRPr="001011C9" w:rsidRDefault="00C50C88" w:rsidP="00C50C88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6"/>
          <w:szCs w:val="26"/>
        </w:rPr>
      </w:pPr>
      <w:r w:rsidRPr="001011C9">
        <w:rPr>
          <w:rFonts w:asciiTheme="majorBidi" w:hAnsiTheme="majorBidi" w:cstheme="majorBidi"/>
          <w:bCs/>
          <w:sz w:val="26"/>
          <w:szCs w:val="26"/>
        </w:rPr>
        <w:t>Date limite de soumission : 15 septembre 2017</w:t>
      </w:r>
    </w:p>
    <w:p w:rsidR="00C50C88" w:rsidRPr="001011C9" w:rsidRDefault="00C50C88" w:rsidP="00C50C88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6"/>
          <w:szCs w:val="26"/>
        </w:rPr>
      </w:pPr>
      <w:r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Pré sélection sur dossier et information des candidats retenus : 2</w:t>
      </w:r>
      <w:r w:rsidRPr="001011C9">
        <w:rPr>
          <w:rFonts w:asciiTheme="majorBidi" w:eastAsia="Times New Roman" w:hAnsiTheme="majorBidi" w:cstheme="majorBidi"/>
          <w:bCs/>
          <w:sz w:val="26"/>
          <w:szCs w:val="26"/>
          <w:vertAlign w:val="superscript"/>
          <w:lang w:eastAsia="fr-FR"/>
        </w:rPr>
        <w:t>ème</w:t>
      </w:r>
      <w:r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semaine d’octobre 2017</w:t>
      </w:r>
    </w:p>
    <w:p w:rsidR="00C50C88" w:rsidRPr="001011C9" w:rsidRDefault="00C50C88" w:rsidP="00F725FE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6"/>
          <w:szCs w:val="26"/>
        </w:rPr>
      </w:pPr>
      <w:r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Les candidats retenus seront appelés à préparer</w:t>
      </w:r>
      <w:r w:rsidR="00F725FE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une prestation orale et</w:t>
      </w:r>
      <w:r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</w:t>
      </w:r>
      <w:r w:rsidR="00F725FE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un poster</w:t>
      </w:r>
      <w:r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</w:t>
      </w:r>
      <w:r w:rsidR="00F725FE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qui sera affiché le long du Salon International de l’Agriculture du machinisme agricole et de la pêche </w:t>
      </w:r>
    </w:p>
    <w:p w:rsidR="00C50C88" w:rsidRPr="001011C9" w:rsidRDefault="00C50C88" w:rsidP="00B128E1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6"/>
          <w:szCs w:val="26"/>
        </w:rPr>
      </w:pPr>
      <w:r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Sélection/Délibération et remise des prix </w:t>
      </w:r>
      <w:r w:rsidR="00F725FE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se</w:t>
      </w:r>
      <w:r w:rsidR="00D23B2B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ra organiser au cours du SIAMAP</w:t>
      </w:r>
      <w:r w:rsidR="00B128E1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, la date </w:t>
      </w:r>
      <w:r w:rsidR="00F725FE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sera communiquée ultérieurement</w:t>
      </w:r>
      <w:r w:rsidR="00503408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>.</w:t>
      </w:r>
      <w:r w:rsidR="00F725FE" w:rsidRPr="001011C9">
        <w:rPr>
          <w:rFonts w:asciiTheme="majorBidi" w:eastAsia="Times New Roman" w:hAnsiTheme="majorBidi" w:cstheme="majorBidi"/>
          <w:bCs/>
          <w:sz w:val="26"/>
          <w:szCs w:val="26"/>
          <w:lang w:eastAsia="fr-FR"/>
        </w:rPr>
        <w:t xml:space="preserve"> </w:t>
      </w:r>
    </w:p>
    <w:p w:rsidR="009D53DF" w:rsidRPr="007B109A" w:rsidRDefault="009D53DF" w:rsidP="001011C9">
      <w:pPr>
        <w:rPr>
          <w:rFonts w:ascii="Times New Roman" w:eastAsia="Calibri" w:hAnsi="Times New Roman" w:cs="Times New Roman"/>
          <w:sz w:val="26"/>
          <w:szCs w:val="26"/>
          <w:rtl/>
        </w:rPr>
      </w:pPr>
    </w:p>
    <w:sectPr w:rsidR="009D53DF" w:rsidRPr="007B109A" w:rsidSect="00383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27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2D" w:rsidRDefault="0024422D" w:rsidP="00E71E0A">
      <w:pPr>
        <w:spacing w:after="0" w:line="240" w:lineRule="auto"/>
      </w:pPr>
      <w:r>
        <w:separator/>
      </w:r>
    </w:p>
  </w:endnote>
  <w:endnote w:type="continuationSeparator" w:id="1">
    <w:p w:rsidR="0024422D" w:rsidRDefault="0024422D" w:rsidP="00E7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42" w:rsidRDefault="00BB59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42" w:rsidRDefault="00BB594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42" w:rsidRDefault="00BB59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2D" w:rsidRDefault="0024422D" w:rsidP="00E71E0A">
      <w:pPr>
        <w:spacing w:after="0" w:line="240" w:lineRule="auto"/>
      </w:pPr>
      <w:r>
        <w:separator/>
      </w:r>
    </w:p>
  </w:footnote>
  <w:footnote w:type="continuationSeparator" w:id="1">
    <w:p w:rsidR="0024422D" w:rsidRDefault="0024422D" w:rsidP="00E7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42" w:rsidRDefault="00BB59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C9" w:rsidRDefault="00BB5942" w:rsidP="00B128E1">
    <w:pPr>
      <w:pStyle w:val="En-tte"/>
      <w:tabs>
        <w:tab w:val="clear" w:pos="4536"/>
        <w:tab w:val="clear" w:pos="9072"/>
        <w:tab w:val="left" w:pos="-284"/>
      </w:tabs>
      <w:bidi/>
      <w:ind w:left="-284"/>
    </w:pPr>
    <w:r w:rsidRPr="005035F4">
      <w:t>www.anpr.tn</w:t>
    </w:r>
    <w:r>
      <w:rPr>
        <w:noProof/>
        <w:lang w:eastAsia="fr-FR"/>
      </w:rPr>
      <w:t xml:space="preserve"> </w:t>
    </w:r>
    <w:r w:rsidR="00383CFE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520065</wp:posOffset>
          </wp:positionV>
          <wp:extent cx="1438275" cy="495300"/>
          <wp:effectExtent l="19050" t="0" r="9525" b="0"/>
          <wp:wrapSquare wrapText="bothSides"/>
          <wp:docPr id="4" name="Image 0" descr="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ntitle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    </w:t>
    </w:r>
    <w:r w:rsidR="00172A1C">
      <w:rPr>
        <w:rFonts w:hint="cs"/>
        <w:rtl/>
      </w:rPr>
      <w:tab/>
    </w:r>
    <w:r w:rsidR="000D0AC9">
      <w:ptab w:relativeTo="margin" w:alignment="center" w:leader="none"/>
    </w:r>
    <w:r w:rsidR="00B128E1" w:rsidRPr="00383CFE">
      <w:rPr>
        <w:noProof/>
        <w:lang w:eastAsia="fr-FR"/>
      </w:rPr>
      <w:drawing>
        <wp:inline distT="0" distB="0" distL="0" distR="0">
          <wp:extent cx="719113" cy="1133475"/>
          <wp:effectExtent l="19050" t="0" r="4787" b="0"/>
          <wp:docPr id="3" name="Image 1" descr="Résultat de recherche d'images pour &quot;Logo ut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tap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85" cy="1157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CFE">
      <w:rPr>
        <w:rFonts w:hint="cs"/>
        <w:rtl/>
      </w:rPr>
      <w:tab/>
    </w:r>
    <w:r w:rsidR="00383CFE">
      <w:rPr>
        <w:rFonts w:hint="cs"/>
        <w:rtl/>
      </w:rPr>
      <w:tab/>
    </w:r>
    <w:r w:rsidR="00B128E1" w:rsidRPr="00B128E1">
      <w:rPr>
        <w:rFonts w:cs="Arial"/>
        <w:noProof/>
        <w:rtl/>
        <w:lang w:eastAsia="fr-FR"/>
      </w:rPr>
      <w:drawing>
        <wp:inline distT="0" distB="0" distL="0" distR="0">
          <wp:extent cx="1847850" cy="951923"/>
          <wp:effectExtent l="19050" t="0" r="0" b="0"/>
          <wp:docPr id="5" name="Image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mage00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42" cy="95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AC9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42" w:rsidRDefault="00BB59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8DF"/>
    <w:multiLevelType w:val="hybridMultilevel"/>
    <w:tmpl w:val="8ECC8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061"/>
    <w:multiLevelType w:val="hybridMultilevel"/>
    <w:tmpl w:val="D8641D44"/>
    <w:lvl w:ilvl="0" w:tplc="18D04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7FF7"/>
    <w:multiLevelType w:val="hybridMultilevel"/>
    <w:tmpl w:val="011628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C25F1"/>
    <w:multiLevelType w:val="hybridMultilevel"/>
    <w:tmpl w:val="81F6442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FF36EA"/>
    <w:multiLevelType w:val="hybridMultilevel"/>
    <w:tmpl w:val="121C355A"/>
    <w:lvl w:ilvl="0" w:tplc="EBC0C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3181"/>
    <w:multiLevelType w:val="hybridMultilevel"/>
    <w:tmpl w:val="59B27BB8"/>
    <w:lvl w:ilvl="0" w:tplc="1F86A2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8E53A0"/>
    <w:multiLevelType w:val="hybridMultilevel"/>
    <w:tmpl w:val="D1CE7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26B7"/>
    <w:multiLevelType w:val="hybridMultilevel"/>
    <w:tmpl w:val="D564F452"/>
    <w:lvl w:ilvl="0" w:tplc="B6B8682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25BC"/>
    <w:multiLevelType w:val="hybridMultilevel"/>
    <w:tmpl w:val="9288F2FA"/>
    <w:lvl w:ilvl="0" w:tplc="2F24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580A"/>
    <w:multiLevelType w:val="hybridMultilevel"/>
    <w:tmpl w:val="7AF23A0A"/>
    <w:lvl w:ilvl="0" w:tplc="3FA2A5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F7807"/>
    <w:multiLevelType w:val="hybridMultilevel"/>
    <w:tmpl w:val="F73EACDE"/>
    <w:lvl w:ilvl="0" w:tplc="02781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009E"/>
    <w:multiLevelType w:val="hybridMultilevel"/>
    <w:tmpl w:val="B17C8940"/>
    <w:lvl w:ilvl="0" w:tplc="B6B8682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9678A8"/>
    <w:multiLevelType w:val="hybridMultilevel"/>
    <w:tmpl w:val="72386ED0"/>
    <w:lvl w:ilvl="0" w:tplc="8BD01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21D25"/>
    <w:multiLevelType w:val="hybridMultilevel"/>
    <w:tmpl w:val="A25A00F6"/>
    <w:lvl w:ilvl="0" w:tplc="3FA2A5B6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4CFA59D4"/>
    <w:multiLevelType w:val="hybridMultilevel"/>
    <w:tmpl w:val="CB749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2065E"/>
    <w:multiLevelType w:val="hybridMultilevel"/>
    <w:tmpl w:val="2BA81CC4"/>
    <w:lvl w:ilvl="0" w:tplc="7F288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7F46"/>
    <w:multiLevelType w:val="hybridMultilevel"/>
    <w:tmpl w:val="085046BA"/>
    <w:lvl w:ilvl="0" w:tplc="18D046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C803D3"/>
    <w:multiLevelType w:val="hybridMultilevel"/>
    <w:tmpl w:val="AC862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3268B"/>
    <w:multiLevelType w:val="hybridMultilevel"/>
    <w:tmpl w:val="AB9E533A"/>
    <w:lvl w:ilvl="0" w:tplc="3FA2A5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44D52"/>
    <w:multiLevelType w:val="hybridMultilevel"/>
    <w:tmpl w:val="FD58A636"/>
    <w:lvl w:ilvl="0" w:tplc="3FA2A5B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44DBD"/>
    <w:multiLevelType w:val="multilevel"/>
    <w:tmpl w:val="327C47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1">
    <w:nsid w:val="729634EC"/>
    <w:multiLevelType w:val="hybridMultilevel"/>
    <w:tmpl w:val="59B27BB8"/>
    <w:lvl w:ilvl="0" w:tplc="1F86A2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546852"/>
    <w:multiLevelType w:val="hybridMultilevel"/>
    <w:tmpl w:val="CC52F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11"/>
  </w:num>
  <w:num w:numId="8">
    <w:abstractNumId w:val="22"/>
  </w:num>
  <w:num w:numId="9">
    <w:abstractNumId w:val="5"/>
  </w:num>
  <w:num w:numId="10">
    <w:abstractNumId w:val="20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  <w:num w:numId="16">
    <w:abstractNumId w:val="21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8432B"/>
    <w:rsid w:val="000201B7"/>
    <w:rsid w:val="000275F6"/>
    <w:rsid w:val="00041970"/>
    <w:rsid w:val="0005401C"/>
    <w:rsid w:val="000751C3"/>
    <w:rsid w:val="000824C9"/>
    <w:rsid w:val="000903CA"/>
    <w:rsid w:val="000A159B"/>
    <w:rsid w:val="000A38FB"/>
    <w:rsid w:val="000A7E84"/>
    <w:rsid w:val="000C2AA1"/>
    <w:rsid w:val="000D0AC9"/>
    <w:rsid w:val="000E038C"/>
    <w:rsid w:val="000E5E3F"/>
    <w:rsid w:val="00100D44"/>
    <w:rsid w:val="001011C9"/>
    <w:rsid w:val="00101BD2"/>
    <w:rsid w:val="00102930"/>
    <w:rsid w:val="00110B70"/>
    <w:rsid w:val="00121F41"/>
    <w:rsid w:val="001345E6"/>
    <w:rsid w:val="00151886"/>
    <w:rsid w:val="001552CF"/>
    <w:rsid w:val="00170D4F"/>
    <w:rsid w:val="001714E7"/>
    <w:rsid w:val="00172A1C"/>
    <w:rsid w:val="00176671"/>
    <w:rsid w:val="00193233"/>
    <w:rsid w:val="001937C1"/>
    <w:rsid w:val="00194DB8"/>
    <w:rsid w:val="001B63DB"/>
    <w:rsid w:val="001C2FD5"/>
    <w:rsid w:val="001D02D4"/>
    <w:rsid w:val="001F58CF"/>
    <w:rsid w:val="00200A98"/>
    <w:rsid w:val="00212830"/>
    <w:rsid w:val="00223163"/>
    <w:rsid w:val="00233F3F"/>
    <w:rsid w:val="00242B59"/>
    <w:rsid w:val="0024422D"/>
    <w:rsid w:val="002450B8"/>
    <w:rsid w:val="0025548E"/>
    <w:rsid w:val="0026202C"/>
    <w:rsid w:val="00277CAA"/>
    <w:rsid w:val="00295BF4"/>
    <w:rsid w:val="002A06EE"/>
    <w:rsid w:val="002B39E1"/>
    <w:rsid w:val="002B4DC6"/>
    <w:rsid w:val="002D6086"/>
    <w:rsid w:val="002D7FAA"/>
    <w:rsid w:val="002F116C"/>
    <w:rsid w:val="00307AC8"/>
    <w:rsid w:val="00323BBD"/>
    <w:rsid w:val="00330DC3"/>
    <w:rsid w:val="00354581"/>
    <w:rsid w:val="003642A8"/>
    <w:rsid w:val="003662C3"/>
    <w:rsid w:val="00367EB4"/>
    <w:rsid w:val="00383CFE"/>
    <w:rsid w:val="0038569B"/>
    <w:rsid w:val="003938B0"/>
    <w:rsid w:val="00397FA2"/>
    <w:rsid w:val="003A28B1"/>
    <w:rsid w:val="003A66F8"/>
    <w:rsid w:val="003C08B8"/>
    <w:rsid w:val="003C2D1B"/>
    <w:rsid w:val="003D21DE"/>
    <w:rsid w:val="003E44C2"/>
    <w:rsid w:val="004139D5"/>
    <w:rsid w:val="004200F4"/>
    <w:rsid w:val="00433FB1"/>
    <w:rsid w:val="00441200"/>
    <w:rsid w:val="00441697"/>
    <w:rsid w:val="0044416D"/>
    <w:rsid w:val="0045170B"/>
    <w:rsid w:val="00470535"/>
    <w:rsid w:val="00473960"/>
    <w:rsid w:val="00482726"/>
    <w:rsid w:val="00484216"/>
    <w:rsid w:val="0048432B"/>
    <w:rsid w:val="0049268B"/>
    <w:rsid w:val="004A0D9C"/>
    <w:rsid w:val="004A110A"/>
    <w:rsid w:val="004A5A0F"/>
    <w:rsid w:val="004B1028"/>
    <w:rsid w:val="004B7C4F"/>
    <w:rsid w:val="004C5D3E"/>
    <w:rsid w:val="004D1E09"/>
    <w:rsid w:val="004D2ABD"/>
    <w:rsid w:val="004E7F5B"/>
    <w:rsid w:val="004F2B04"/>
    <w:rsid w:val="004F7E23"/>
    <w:rsid w:val="00500671"/>
    <w:rsid w:val="00503408"/>
    <w:rsid w:val="00510231"/>
    <w:rsid w:val="00517E87"/>
    <w:rsid w:val="00536BA0"/>
    <w:rsid w:val="0054503E"/>
    <w:rsid w:val="00550AD1"/>
    <w:rsid w:val="0055184C"/>
    <w:rsid w:val="00564512"/>
    <w:rsid w:val="005867B2"/>
    <w:rsid w:val="0058683C"/>
    <w:rsid w:val="00590B29"/>
    <w:rsid w:val="00592521"/>
    <w:rsid w:val="005D16B8"/>
    <w:rsid w:val="005E6F45"/>
    <w:rsid w:val="005E7B5C"/>
    <w:rsid w:val="005F1DF4"/>
    <w:rsid w:val="005F5FA9"/>
    <w:rsid w:val="006010F4"/>
    <w:rsid w:val="00603837"/>
    <w:rsid w:val="0061401A"/>
    <w:rsid w:val="006206C2"/>
    <w:rsid w:val="00640E67"/>
    <w:rsid w:val="00642D92"/>
    <w:rsid w:val="0064382E"/>
    <w:rsid w:val="00644A8E"/>
    <w:rsid w:val="006565DE"/>
    <w:rsid w:val="00657AF5"/>
    <w:rsid w:val="00690BE1"/>
    <w:rsid w:val="006A05A8"/>
    <w:rsid w:val="006B44B6"/>
    <w:rsid w:val="006D6507"/>
    <w:rsid w:val="006D77B5"/>
    <w:rsid w:val="00722B3D"/>
    <w:rsid w:val="0072304F"/>
    <w:rsid w:val="007410FC"/>
    <w:rsid w:val="00754463"/>
    <w:rsid w:val="0076316B"/>
    <w:rsid w:val="00764972"/>
    <w:rsid w:val="00765562"/>
    <w:rsid w:val="007714A4"/>
    <w:rsid w:val="00795D14"/>
    <w:rsid w:val="007963FF"/>
    <w:rsid w:val="00796FFB"/>
    <w:rsid w:val="007A0257"/>
    <w:rsid w:val="007A0861"/>
    <w:rsid w:val="007B109A"/>
    <w:rsid w:val="007B56E5"/>
    <w:rsid w:val="007C655C"/>
    <w:rsid w:val="007E3BAD"/>
    <w:rsid w:val="007F004A"/>
    <w:rsid w:val="007F338F"/>
    <w:rsid w:val="008367FB"/>
    <w:rsid w:val="008414D2"/>
    <w:rsid w:val="00842212"/>
    <w:rsid w:val="00845F31"/>
    <w:rsid w:val="008777D8"/>
    <w:rsid w:val="00883EFC"/>
    <w:rsid w:val="008930C7"/>
    <w:rsid w:val="0089375E"/>
    <w:rsid w:val="00894E38"/>
    <w:rsid w:val="0089544C"/>
    <w:rsid w:val="00895DA7"/>
    <w:rsid w:val="008D0523"/>
    <w:rsid w:val="008E798D"/>
    <w:rsid w:val="008F6FD2"/>
    <w:rsid w:val="0092510B"/>
    <w:rsid w:val="00926102"/>
    <w:rsid w:val="009342F4"/>
    <w:rsid w:val="00937030"/>
    <w:rsid w:val="0094430A"/>
    <w:rsid w:val="00951F3E"/>
    <w:rsid w:val="00951FFC"/>
    <w:rsid w:val="009666D1"/>
    <w:rsid w:val="00970C11"/>
    <w:rsid w:val="00972E4F"/>
    <w:rsid w:val="00974B81"/>
    <w:rsid w:val="009772BF"/>
    <w:rsid w:val="00982B4E"/>
    <w:rsid w:val="009D48C4"/>
    <w:rsid w:val="009D53DF"/>
    <w:rsid w:val="009E082F"/>
    <w:rsid w:val="009F0025"/>
    <w:rsid w:val="009F7366"/>
    <w:rsid w:val="00A3694F"/>
    <w:rsid w:val="00A5265B"/>
    <w:rsid w:val="00A54A49"/>
    <w:rsid w:val="00A60759"/>
    <w:rsid w:val="00A6105B"/>
    <w:rsid w:val="00A7397A"/>
    <w:rsid w:val="00A743FD"/>
    <w:rsid w:val="00A81214"/>
    <w:rsid w:val="00A94554"/>
    <w:rsid w:val="00A945A7"/>
    <w:rsid w:val="00A95AF7"/>
    <w:rsid w:val="00A9757B"/>
    <w:rsid w:val="00AB29C5"/>
    <w:rsid w:val="00AC6FD8"/>
    <w:rsid w:val="00AE4A0C"/>
    <w:rsid w:val="00AF48CA"/>
    <w:rsid w:val="00B10DE8"/>
    <w:rsid w:val="00B128E1"/>
    <w:rsid w:val="00B231CC"/>
    <w:rsid w:val="00B44291"/>
    <w:rsid w:val="00B47CCB"/>
    <w:rsid w:val="00B66244"/>
    <w:rsid w:val="00B726CB"/>
    <w:rsid w:val="00B74CB0"/>
    <w:rsid w:val="00B753E6"/>
    <w:rsid w:val="00B8626D"/>
    <w:rsid w:val="00B93512"/>
    <w:rsid w:val="00BA10A4"/>
    <w:rsid w:val="00BA4A85"/>
    <w:rsid w:val="00BB49BC"/>
    <w:rsid w:val="00BB4AE6"/>
    <w:rsid w:val="00BB5942"/>
    <w:rsid w:val="00BD0E35"/>
    <w:rsid w:val="00BD390C"/>
    <w:rsid w:val="00BE25FC"/>
    <w:rsid w:val="00BE35A9"/>
    <w:rsid w:val="00C11F6D"/>
    <w:rsid w:val="00C337F5"/>
    <w:rsid w:val="00C341A2"/>
    <w:rsid w:val="00C378A0"/>
    <w:rsid w:val="00C45302"/>
    <w:rsid w:val="00C50B00"/>
    <w:rsid w:val="00C50C88"/>
    <w:rsid w:val="00C51F96"/>
    <w:rsid w:val="00C56938"/>
    <w:rsid w:val="00C66CA2"/>
    <w:rsid w:val="00C752D3"/>
    <w:rsid w:val="00C922E3"/>
    <w:rsid w:val="00CA57AE"/>
    <w:rsid w:val="00CA5D4D"/>
    <w:rsid w:val="00CA6E8B"/>
    <w:rsid w:val="00CA7AC4"/>
    <w:rsid w:val="00CD7455"/>
    <w:rsid w:val="00CE51FB"/>
    <w:rsid w:val="00CE55D7"/>
    <w:rsid w:val="00CF490E"/>
    <w:rsid w:val="00D03C52"/>
    <w:rsid w:val="00D111C6"/>
    <w:rsid w:val="00D22092"/>
    <w:rsid w:val="00D23B2B"/>
    <w:rsid w:val="00D3059E"/>
    <w:rsid w:val="00D552CD"/>
    <w:rsid w:val="00D55D77"/>
    <w:rsid w:val="00D64233"/>
    <w:rsid w:val="00D67515"/>
    <w:rsid w:val="00D864AA"/>
    <w:rsid w:val="00D96630"/>
    <w:rsid w:val="00DA7488"/>
    <w:rsid w:val="00DC0CC5"/>
    <w:rsid w:val="00DC1733"/>
    <w:rsid w:val="00DC235B"/>
    <w:rsid w:val="00DD60CC"/>
    <w:rsid w:val="00DF0E7F"/>
    <w:rsid w:val="00E016B3"/>
    <w:rsid w:val="00E12C13"/>
    <w:rsid w:val="00E244ED"/>
    <w:rsid w:val="00E364F5"/>
    <w:rsid w:val="00E366AD"/>
    <w:rsid w:val="00E51CA5"/>
    <w:rsid w:val="00E552AC"/>
    <w:rsid w:val="00E71E0A"/>
    <w:rsid w:val="00E7439C"/>
    <w:rsid w:val="00E82A57"/>
    <w:rsid w:val="00E95924"/>
    <w:rsid w:val="00EA13B2"/>
    <w:rsid w:val="00EB3475"/>
    <w:rsid w:val="00EB38EF"/>
    <w:rsid w:val="00EC0BA4"/>
    <w:rsid w:val="00EE0D16"/>
    <w:rsid w:val="00EE0F6B"/>
    <w:rsid w:val="00EE400D"/>
    <w:rsid w:val="00EF0CAD"/>
    <w:rsid w:val="00EF0CC4"/>
    <w:rsid w:val="00EF588F"/>
    <w:rsid w:val="00F01F54"/>
    <w:rsid w:val="00F133DC"/>
    <w:rsid w:val="00F37EB7"/>
    <w:rsid w:val="00F443E8"/>
    <w:rsid w:val="00F46DFC"/>
    <w:rsid w:val="00F50C95"/>
    <w:rsid w:val="00F656B0"/>
    <w:rsid w:val="00F725FE"/>
    <w:rsid w:val="00F73F26"/>
    <w:rsid w:val="00F74688"/>
    <w:rsid w:val="00FA42AD"/>
    <w:rsid w:val="00FA7E23"/>
    <w:rsid w:val="00FD0948"/>
    <w:rsid w:val="00FE0E57"/>
    <w:rsid w:val="00FF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0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7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E0A"/>
  </w:style>
  <w:style w:type="paragraph" w:styleId="Pieddepage">
    <w:name w:val="footer"/>
    <w:basedOn w:val="Normal"/>
    <w:link w:val="PieddepageCar"/>
    <w:uiPriority w:val="99"/>
    <w:semiHidden/>
    <w:unhideWhenUsed/>
    <w:rsid w:val="00E7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E0A"/>
  </w:style>
  <w:style w:type="paragraph" w:styleId="Textedebulles">
    <w:name w:val="Balloon Text"/>
    <w:basedOn w:val="Normal"/>
    <w:link w:val="TextedebullesCar"/>
    <w:uiPriority w:val="99"/>
    <w:semiHidden/>
    <w:unhideWhenUsed/>
    <w:rsid w:val="000D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4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innovagri@iresa.agrinet.t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58CC-63B0-4006-B3D4-7C33090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Dalel Azouz</dc:creator>
  <cp:lastModifiedBy>Dalel Azouz</cp:lastModifiedBy>
  <cp:revision>8</cp:revision>
  <cp:lastPrinted>2017-08-03T08:09:00Z</cp:lastPrinted>
  <dcterms:created xsi:type="dcterms:W3CDTF">2017-08-03T12:57:00Z</dcterms:created>
  <dcterms:modified xsi:type="dcterms:W3CDTF">2017-08-04T10:22:00Z</dcterms:modified>
</cp:coreProperties>
</file>